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CC" w:rsidRPr="008346CC" w:rsidRDefault="008346CC" w:rsidP="008346CC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66"/>
          <w:kern w:val="36"/>
          <w:sz w:val="48"/>
          <w:szCs w:val="48"/>
          <w:lang w:eastAsia="en-GB"/>
        </w:rPr>
      </w:pPr>
      <w:r w:rsidRPr="008346CC">
        <w:rPr>
          <w:rFonts w:ascii="Arial" w:eastAsia="Times New Roman" w:hAnsi="Arial" w:cs="Arial"/>
          <w:b/>
          <w:bCs/>
          <w:color w:val="000066"/>
          <w:kern w:val="36"/>
          <w:sz w:val="48"/>
          <w:szCs w:val="48"/>
          <w:lang w:eastAsia="en-GB"/>
        </w:rPr>
        <w:t>Key Performance Measures</w:t>
      </w:r>
      <w:r w:rsidR="00852D14">
        <w:rPr>
          <w:rFonts w:ascii="Arial" w:eastAsia="Times New Roman" w:hAnsi="Arial" w:cs="Arial"/>
          <w:b/>
          <w:bCs/>
          <w:color w:val="000066"/>
          <w:kern w:val="36"/>
          <w:sz w:val="48"/>
          <w:szCs w:val="48"/>
          <w:lang w:eastAsia="en-GB"/>
        </w:rPr>
        <w:t xml:space="preserve"> for 2017/2018</w:t>
      </w:r>
    </w:p>
    <w:p w:rsidR="008346CC" w:rsidRPr="008346CC" w:rsidRDefault="008346CC" w:rsidP="008346CC">
      <w:pPr>
        <w:spacing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8346CC">
        <w:rPr>
          <w:rFonts w:ascii="Arial" w:eastAsia="Times New Roman" w:hAnsi="Arial" w:cs="Arial"/>
          <w:color w:val="000000"/>
          <w:lang w:eastAsia="en-GB"/>
        </w:rPr>
        <w:t> </w:t>
      </w:r>
    </w:p>
    <w:p w:rsidR="008346CC" w:rsidRDefault="008346CC" w:rsidP="008346CC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lang w:eastAsia="en-GB"/>
        </w:rPr>
      </w:pPr>
      <w:r w:rsidRPr="008346CC">
        <w:rPr>
          <w:rFonts w:ascii="Arial" w:eastAsia="Times New Roman" w:hAnsi="Arial" w:cs="Arial"/>
          <w:color w:val="000000"/>
          <w:sz w:val="28"/>
          <w:lang w:eastAsia="en-GB"/>
        </w:rPr>
        <w:t>When looking at our percentages, remember in a small school like ours, in each year group, </w:t>
      </w:r>
      <w:r w:rsidRPr="004F75EA">
        <w:rPr>
          <w:rFonts w:ascii="Arial" w:eastAsia="Times New Roman" w:hAnsi="Arial" w:cs="Arial"/>
          <w:b/>
          <w:bCs/>
          <w:color w:val="000000"/>
          <w:sz w:val="28"/>
          <w:lang w:eastAsia="en-GB"/>
        </w:rPr>
        <w:t>one child represents about 3%</w:t>
      </w:r>
      <w:r w:rsidR="00852D14">
        <w:rPr>
          <w:rFonts w:ascii="Arial" w:eastAsia="Times New Roman" w:hAnsi="Arial" w:cs="Arial"/>
          <w:color w:val="000000"/>
          <w:sz w:val="28"/>
          <w:lang w:eastAsia="en-GB"/>
        </w:rPr>
        <w:t xml:space="preserve"> for a class of 30. This year in Year 6 each child was 4%</w:t>
      </w:r>
      <w:r w:rsidR="004A17CE">
        <w:rPr>
          <w:rFonts w:ascii="Arial" w:eastAsia="Times New Roman" w:hAnsi="Arial" w:cs="Arial"/>
          <w:color w:val="000000"/>
          <w:sz w:val="28"/>
          <w:lang w:eastAsia="en-GB"/>
        </w:rPr>
        <w:t xml:space="preserve"> as the cohort was 25.</w:t>
      </w:r>
    </w:p>
    <w:p w:rsidR="004F75EA" w:rsidRPr="008346CC" w:rsidRDefault="004F75EA" w:rsidP="008346CC">
      <w:pPr>
        <w:spacing w:after="100" w:afterAutospacing="1" w:line="240" w:lineRule="auto"/>
        <w:rPr>
          <w:rFonts w:ascii="Arial" w:eastAsia="Times New Roman" w:hAnsi="Arial" w:cs="Arial"/>
          <w:b/>
          <w:color w:val="000000"/>
          <w:sz w:val="32"/>
          <w:u w:val="single"/>
          <w:lang w:eastAsia="en-GB"/>
        </w:rPr>
      </w:pPr>
      <w:r w:rsidRPr="004F75EA">
        <w:rPr>
          <w:rFonts w:ascii="Arial" w:eastAsia="Times New Roman" w:hAnsi="Arial" w:cs="Arial"/>
          <w:b/>
          <w:color w:val="000000"/>
          <w:sz w:val="32"/>
          <w:u w:val="single"/>
          <w:lang w:eastAsia="en-GB"/>
        </w:rPr>
        <w:t>Key Stage2 Results</w:t>
      </w:r>
    </w:p>
    <w:p w:rsidR="004F75EA" w:rsidRPr="004F75EA" w:rsidRDefault="008346CC" w:rsidP="008346CC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lang w:eastAsia="en-GB"/>
        </w:rPr>
      </w:pPr>
      <w:r w:rsidRPr="004F75EA">
        <w:rPr>
          <w:rFonts w:ascii="Arial" w:eastAsia="Times New Roman" w:hAnsi="Arial" w:cs="Arial"/>
          <w:b/>
          <w:bCs/>
          <w:color w:val="000000"/>
          <w:sz w:val="28"/>
          <w:lang w:eastAsia="en-GB"/>
        </w:rPr>
        <w:t>Our KS2</w:t>
      </w:r>
      <w:r w:rsidR="0084406C">
        <w:rPr>
          <w:rFonts w:ascii="Arial" w:eastAsia="Times New Roman" w:hAnsi="Arial" w:cs="Arial"/>
          <w:color w:val="000000"/>
          <w:sz w:val="28"/>
          <w:lang w:eastAsia="en-GB"/>
        </w:rPr>
        <w:t> scores this year, 2018</w:t>
      </w:r>
      <w:r w:rsidRPr="008346CC">
        <w:rPr>
          <w:rFonts w:ascii="Arial" w:eastAsia="Times New Roman" w:hAnsi="Arial" w:cs="Arial"/>
          <w:color w:val="000000"/>
          <w:sz w:val="28"/>
          <w:lang w:eastAsia="en-GB"/>
        </w:rPr>
        <w:t xml:space="preserve">, </w:t>
      </w:r>
      <w:r w:rsidR="00852D14">
        <w:rPr>
          <w:rFonts w:ascii="Arial" w:eastAsia="Times New Roman" w:hAnsi="Arial" w:cs="Arial"/>
          <w:color w:val="000000"/>
          <w:sz w:val="28"/>
          <w:lang w:eastAsia="en-GB"/>
        </w:rPr>
        <w:t xml:space="preserve">are very </w:t>
      </w:r>
      <w:r w:rsidRPr="008346CC">
        <w:rPr>
          <w:rFonts w:ascii="Arial" w:eastAsia="Times New Roman" w:hAnsi="Arial" w:cs="Arial"/>
          <w:color w:val="000000"/>
          <w:sz w:val="28"/>
          <w:lang w:eastAsia="en-GB"/>
        </w:rPr>
        <w:t xml:space="preserve">pleasing and big improvements </w:t>
      </w:r>
      <w:r w:rsidR="00852D14">
        <w:rPr>
          <w:rFonts w:ascii="Arial" w:eastAsia="Times New Roman" w:hAnsi="Arial" w:cs="Arial"/>
          <w:color w:val="000000"/>
          <w:sz w:val="28"/>
          <w:lang w:eastAsia="en-GB"/>
        </w:rPr>
        <w:t>on 2017</w:t>
      </w:r>
      <w:r w:rsidRPr="008346CC">
        <w:rPr>
          <w:rFonts w:ascii="Arial" w:eastAsia="Times New Roman" w:hAnsi="Arial" w:cs="Arial"/>
          <w:color w:val="000000"/>
          <w:sz w:val="28"/>
          <w:lang w:eastAsia="en-GB"/>
        </w:rPr>
        <w:t>. </w:t>
      </w:r>
      <w:r w:rsidR="00852D14">
        <w:rPr>
          <w:rFonts w:ascii="Arial" w:eastAsia="Times New Roman" w:hAnsi="Arial" w:cs="Arial"/>
          <w:bCs/>
          <w:color w:val="000000"/>
          <w:sz w:val="28"/>
          <w:lang w:eastAsia="en-GB"/>
        </w:rPr>
        <w:t xml:space="preserve">ALL areas have </w:t>
      </w:r>
      <w:r w:rsidR="0084406C">
        <w:rPr>
          <w:rFonts w:ascii="Arial" w:eastAsia="Times New Roman" w:hAnsi="Arial" w:cs="Arial"/>
          <w:bCs/>
          <w:color w:val="000000"/>
          <w:sz w:val="28"/>
          <w:lang w:eastAsia="en-GB"/>
        </w:rPr>
        <w:t>improved</w:t>
      </w:r>
      <w:r w:rsidR="00852D14">
        <w:rPr>
          <w:rFonts w:ascii="Arial" w:eastAsia="Times New Roman" w:hAnsi="Arial" w:cs="Arial"/>
          <w:bCs/>
          <w:color w:val="000000"/>
          <w:sz w:val="28"/>
          <w:lang w:eastAsia="en-GB"/>
        </w:rPr>
        <w:t xml:space="preserve"> since last year.</w:t>
      </w:r>
      <w:r w:rsidR="0084406C">
        <w:rPr>
          <w:rFonts w:ascii="Arial" w:eastAsia="Times New Roman" w:hAnsi="Arial" w:cs="Arial"/>
          <w:bCs/>
          <w:color w:val="000000"/>
          <w:sz w:val="28"/>
          <w:lang w:eastAsia="en-GB"/>
        </w:rPr>
        <w:t xml:space="preserve"> Reading is up by 11%, writing is up by 1</w:t>
      </w:r>
      <w:r w:rsidR="00D87A7C" w:rsidRPr="004F75EA">
        <w:rPr>
          <w:rFonts w:ascii="Arial" w:eastAsia="Times New Roman" w:hAnsi="Arial" w:cs="Arial"/>
          <w:bCs/>
          <w:color w:val="000000"/>
          <w:sz w:val="28"/>
          <w:lang w:eastAsia="en-GB"/>
        </w:rPr>
        <w:t>%</w:t>
      </w:r>
      <w:r w:rsidR="0084406C">
        <w:rPr>
          <w:rFonts w:ascii="Arial" w:eastAsia="Times New Roman" w:hAnsi="Arial" w:cs="Arial"/>
          <w:bCs/>
          <w:color w:val="000000"/>
          <w:sz w:val="28"/>
          <w:lang w:eastAsia="en-GB"/>
        </w:rPr>
        <w:t xml:space="preserve"> GPS is up by 18%</w:t>
      </w:r>
      <w:r w:rsidR="00D87A7C" w:rsidRPr="004F75EA">
        <w:rPr>
          <w:rFonts w:ascii="Arial" w:eastAsia="Times New Roman" w:hAnsi="Arial" w:cs="Arial"/>
          <w:bCs/>
          <w:color w:val="000000"/>
          <w:sz w:val="28"/>
          <w:lang w:eastAsia="en-GB"/>
        </w:rPr>
        <w:t xml:space="preserve"> and Maths by</w:t>
      </w:r>
      <w:r w:rsidR="00D87A7C" w:rsidRPr="004F75EA">
        <w:rPr>
          <w:rFonts w:ascii="Arial" w:eastAsia="Times New Roman" w:hAnsi="Arial" w:cs="Arial"/>
          <w:b/>
          <w:bCs/>
          <w:color w:val="000000"/>
          <w:sz w:val="28"/>
          <w:lang w:eastAsia="en-GB"/>
        </w:rPr>
        <w:t xml:space="preserve"> </w:t>
      </w:r>
      <w:r w:rsidR="0084406C">
        <w:rPr>
          <w:rFonts w:ascii="Arial" w:eastAsia="Times New Roman" w:hAnsi="Arial" w:cs="Arial"/>
          <w:bCs/>
          <w:color w:val="000000"/>
          <w:sz w:val="28"/>
          <w:lang w:eastAsia="en-GB"/>
        </w:rPr>
        <w:t>10</w:t>
      </w:r>
      <w:r w:rsidR="00D87A7C" w:rsidRPr="004F75EA">
        <w:rPr>
          <w:rFonts w:ascii="Arial" w:eastAsia="Times New Roman" w:hAnsi="Arial" w:cs="Arial"/>
          <w:bCs/>
          <w:color w:val="000000"/>
          <w:sz w:val="28"/>
          <w:lang w:eastAsia="en-GB"/>
        </w:rPr>
        <w:t>%.</w:t>
      </w:r>
      <w:r w:rsidRPr="008346CC">
        <w:rPr>
          <w:rFonts w:ascii="Arial" w:eastAsia="Times New Roman" w:hAnsi="Arial" w:cs="Arial"/>
          <w:color w:val="000000"/>
          <w:sz w:val="28"/>
          <w:lang w:eastAsia="en-GB"/>
        </w:rPr>
        <w:t xml:space="preserve"> Our increases on last year pleasingly reflect the </w:t>
      </w:r>
      <w:r w:rsidR="0084406C">
        <w:rPr>
          <w:rFonts w:ascii="Arial" w:eastAsia="Times New Roman" w:hAnsi="Arial" w:cs="Arial"/>
          <w:color w:val="000000"/>
          <w:sz w:val="28"/>
          <w:lang w:eastAsia="en-GB"/>
        </w:rPr>
        <w:t xml:space="preserve">impact that Literacy and </w:t>
      </w:r>
      <w:r w:rsidR="004A17CE">
        <w:rPr>
          <w:rFonts w:ascii="Arial" w:eastAsia="Times New Roman" w:hAnsi="Arial" w:cs="Arial"/>
          <w:color w:val="000000"/>
          <w:sz w:val="28"/>
          <w:lang w:eastAsia="en-GB"/>
        </w:rPr>
        <w:t>Language,</w:t>
      </w:r>
      <w:r w:rsidR="008C6DCE">
        <w:rPr>
          <w:rFonts w:ascii="Arial" w:eastAsia="Times New Roman" w:hAnsi="Arial" w:cs="Arial"/>
          <w:color w:val="000000"/>
          <w:sz w:val="28"/>
          <w:lang w:eastAsia="en-GB"/>
        </w:rPr>
        <w:t xml:space="preserve"> Inspire M</w:t>
      </w:r>
      <w:r w:rsidR="0084406C">
        <w:rPr>
          <w:rFonts w:ascii="Arial" w:eastAsia="Times New Roman" w:hAnsi="Arial" w:cs="Arial"/>
          <w:color w:val="000000"/>
          <w:sz w:val="28"/>
          <w:lang w:eastAsia="en-GB"/>
        </w:rPr>
        <w:t>aths and additional intervention teachers are making on</w:t>
      </w:r>
      <w:r w:rsidR="004A17CE">
        <w:rPr>
          <w:rFonts w:ascii="Arial" w:eastAsia="Times New Roman" w:hAnsi="Arial" w:cs="Arial"/>
          <w:color w:val="000000"/>
          <w:sz w:val="28"/>
          <w:lang w:eastAsia="en-GB"/>
        </w:rPr>
        <w:t xml:space="preserve"> pupil attainment. Considering </w:t>
      </w:r>
      <w:r w:rsidR="004A17CE" w:rsidRPr="008C6DCE">
        <w:rPr>
          <w:rFonts w:ascii="Arial" w:eastAsia="Times New Roman" w:hAnsi="Arial" w:cs="Arial"/>
          <w:b/>
          <w:color w:val="000000"/>
          <w:sz w:val="28"/>
          <w:u w:val="single"/>
          <w:lang w:eastAsia="en-GB"/>
        </w:rPr>
        <w:t xml:space="preserve">32% </w:t>
      </w:r>
      <w:r w:rsidR="004A17CE">
        <w:rPr>
          <w:rFonts w:ascii="Arial" w:eastAsia="Times New Roman" w:hAnsi="Arial" w:cs="Arial"/>
          <w:color w:val="000000"/>
          <w:sz w:val="28"/>
          <w:lang w:eastAsia="en-GB"/>
        </w:rPr>
        <w:t>of this year’s cohort were SEND pupils we are pleased with the result remain stable.</w:t>
      </w:r>
      <w:r w:rsidR="00A61996">
        <w:rPr>
          <w:rFonts w:ascii="Arial" w:eastAsia="Times New Roman" w:hAnsi="Arial" w:cs="Arial"/>
          <w:color w:val="000000"/>
          <w:sz w:val="28"/>
          <w:lang w:eastAsia="en-GB"/>
        </w:rPr>
        <w:t xml:space="preserve"> </w:t>
      </w:r>
      <w:r w:rsidR="00A61996">
        <w:rPr>
          <w:rFonts w:ascii="Arial" w:eastAsia="Times New Roman" w:hAnsi="Arial" w:cs="Arial"/>
          <w:bCs/>
          <w:color w:val="000000"/>
          <w:sz w:val="28"/>
          <w:lang w:eastAsia="en-GB"/>
        </w:rPr>
        <w:t>J</w:t>
      </w:r>
      <w:r w:rsidR="00A61996" w:rsidRPr="004F75EA">
        <w:rPr>
          <w:rFonts w:ascii="Arial" w:eastAsia="Times New Roman" w:hAnsi="Arial" w:cs="Arial"/>
          <w:bCs/>
          <w:color w:val="000000"/>
          <w:sz w:val="28"/>
          <w:lang w:eastAsia="en-GB"/>
        </w:rPr>
        <w:t xml:space="preserve">udgements </w:t>
      </w:r>
      <w:r w:rsidR="00A61996">
        <w:rPr>
          <w:rFonts w:ascii="Arial" w:eastAsia="Times New Roman" w:hAnsi="Arial" w:cs="Arial"/>
          <w:bCs/>
          <w:color w:val="000000"/>
          <w:sz w:val="28"/>
          <w:lang w:eastAsia="en-GB"/>
        </w:rPr>
        <w:t xml:space="preserve">for writing </w:t>
      </w:r>
      <w:r w:rsidR="008C6DCE">
        <w:rPr>
          <w:rFonts w:ascii="Arial" w:eastAsia="Times New Roman" w:hAnsi="Arial" w:cs="Arial"/>
          <w:bCs/>
          <w:color w:val="000000"/>
          <w:sz w:val="28"/>
          <w:lang w:eastAsia="en-GB"/>
        </w:rPr>
        <w:t xml:space="preserve">this year were moderated </w:t>
      </w:r>
      <w:r w:rsidR="00A61996" w:rsidRPr="004F75EA">
        <w:rPr>
          <w:rFonts w:ascii="Arial" w:eastAsia="Times New Roman" w:hAnsi="Arial" w:cs="Arial"/>
          <w:bCs/>
          <w:color w:val="000000"/>
          <w:sz w:val="28"/>
          <w:lang w:eastAsia="en-GB"/>
        </w:rPr>
        <w:t>by an external advisor who agreed the</w:t>
      </w:r>
      <w:r w:rsidR="00A61996">
        <w:rPr>
          <w:rFonts w:ascii="Arial" w:eastAsia="Times New Roman" w:hAnsi="Arial" w:cs="Arial"/>
          <w:bCs/>
          <w:color w:val="000000"/>
          <w:sz w:val="28"/>
          <w:lang w:eastAsia="en-GB"/>
        </w:rPr>
        <w:t xml:space="preserve"> all our assessments.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21"/>
        <w:gridCol w:w="1461"/>
        <w:gridCol w:w="1321"/>
        <w:gridCol w:w="1461"/>
        <w:gridCol w:w="1270"/>
        <w:gridCol w:w="1461"/>
        <w:gridCol w:w="1303"/>
        <w:gridCol w:w="1461"/>
        <w:gridCol w:w="1304"/>
        <w:gridCol w:w="1585"/>
      </w:tblGrid>
      <w:tr w:rsidR="00AF2BF9" w:rsidRPr="004F75EA" w:rsidTr="00852D14">
        <w:trPr>
          <w:trHeight w:val="535"/>
        </w:trPr>
        <w:tc>
          <w:tcPr>
            <w:tcW w:w="477" w:type="pct"/>
            <w:shd w:val="clear" w:color="auto" w:fill="FFFFFF" w:themeFill="background1"/>
          </w:tcPr>
          <w:p w:rsidR="00AF2BF9" w:rsidRPr="00796E12" w:rsidRDefault="004A17CE" w:rsidP="008346CC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KS2 2018</w:t>
            </w:r>
          </w:p>
        </w:tc>
        <w:tc>
          <w:tcPr>
            <w:tcW w:w="515" w:type="pct"/>
            <w:shd w:val="clear" w:color="auto" w:fill="FFFFFF" w:themeFill="background1"/>
          </w:tcPr>
          <w:p w:rsidR="00AF2BF9" w:rsidRPr="00796E12" w:rsidRDefault="00AF2BF9" w:rsidP="008346CC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Reading Expected</w:t>
            </w:r>
          </w:p>
        </w:tc>
        <w:tc>
          <w:tcPr>
            <w:tcW w:w="476" w:type="pct"/>
            <w:shd w:val="clear" w:color="auto" w:fill="FFFFFF" w:themeFill="background1"/>
          </w:tcPr>
          <w:p w:rsidR="00AF2BF9" w:rsidRPr="00796E12" w:rsidRDefault="00AF2BF9" w:rsidP="008346CC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Reading Greater Depth</w:t>
            </w:r>
          </w:p>
        </w:tc>
        <w:tc>
          <w:tcPr>
            <w:tcW w:w="515" w:type="pct"/>
            <w:shd w:val="clear" w:color="auto" w:fill="FFFFFF" w:themeFill="background1"/>
          </w:tcPr>
          <w:p w:rsidR="00AF2BF9" w:rsidRPr="00796E12" w:rsidRDefault="00AF2BF9" w:rsidP="004412F5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Writing Expected</w:t>
            </w:r>
          </w:p>
        </w:tc>
        <w:tc>
          <w:tcPr>
            <w:tcW w:w="476" w:type="pct"/>
            <w:shd w:val="clear" w:color="auto" w:fill="FFFFFF" w:themeFill="background1"/>
          </w:tcPr>
          <w:p w:rsidR="00AF2BF9" w:rsidRPr="00796E12" w:rsidRDefault="00AF2BF9" w:rsidP="00AF2BF9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Writing Greater Depth</w:t>
            </w:r>
          </w:p>
        </w:tc>
        <w:tc>
          <w:tcPr>
            <w:tcW w:w="515" w:type="pct"/>
            <w:shd w:val="clear" w:color="auto" w:fill="FFFFFF" w:themeFill="background1"/>
          </w:tcPr>
          <w:p w:rsidR="00AF2BF9" w:rsidRPr="00796E12" w:rsidRDefault="00AF2BF9" w:rsidP="004412F5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Maths Expected</w:t>
            </w:r>
          </w:p>
        </w:tc>
        <w:tc>
          <w:tcPr>
            <w:tcW w:w="476" w:type="pct"/>
            <w:shd w:val="clear" w:color="auto" w:fill="FFFFFF" w:themeFill="background1"/>
          </w:tcPr>
          <w:p w:rsidR="00AF2BF9" w:rsidRPr="00796E12" w:rsidRDefault="00AF2BF9" w:rsidP="004412F5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Maths Greater Depth</w:t>
            </w:r>
          </w:p>
        </w:tc>
        <w:tc>
          <w:tcPr>
            <w:tcW w:w="515" w:type="pct"/>
            <w:shd w:val="clear" w:color="auto" w:fill="FFFFFF" w:themeFill="background1"/>
          </w:tcPr>
          <w:p w:rsidR="00AF2BF9" w:rsidRPr="00796E12" w:rsidRDefault="00AF2BF9" w:rsidP="004412F5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GPS Expected</w:t>
            </w:r>
          </w:p>
        </w:tc>
        <w:tc>
          <w:tcPr>
            <w:tcW w:w="476" w:type="pct"/>
            <w:shd w:val="clear" w:color="auto" w:fill="FFFFFF" w:themeFill="background1"/>
          </w:tcPr>
          <w:p w:rsidR="00AF2BF9" w:rsidRPr="00796E12" w:rsidRDefault="00AF2BF9" w:rsidP="004412F5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GPS Greater Depth</w:t>
            </w:r>
          </w:p>
        </w:tc>
        <w:tc>
          <w:tcPr>
            <w:tcW w:w="559" w:type="pct"/>
            <w:shd w:val="clear" w:color="auto" w:fill="FFFFFF" w:themeFill="background1"/>
          </w:tcPr>
          <w:p w:rsidR="00AF2BF9" w:rsidRPr="00796E12" w:rsidRDefault="00AF2BF9" w:rsidP="008346CC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Reading writing Maths Combined</w:t>
            </w:r>
          </w:p>
        </w:tc>
      </w:tr>
      <w:tr w:rsidR="00AF2BF9" w:rsidRPr="004F75EA" w:rsidTr="00852D14">
        <w:trPr>
          <w:trHeight w:val="535"/>
        </w:trPr>
        <w:tc>
          <w:tcPr>
            <w:tcW w:w="477" w:type="pct"/>
            <w:shd w:val="clear" w:color="auto" w:fill="548DD4" w:themeFill="text2" w:themeFillTint="99"/>
          </w:tcPr>
          <w:p w:rsidR="00852D14" w:rsidRPr="00796E12" w:rsidRDefault="00852D14" w:rsidP="008346CC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School 2018</w:t>
            </w:r>
          </w:p>
        </w:tc>
        <w:tc>
          <w:tcPr>
            <w:tcW w:w="515" w:type="pct"/>
            <w:shd w:val="clear" w:color="auto" w:fill="548DD4" w:themeFill="text2" w:themeFillTint="99"/>
          </w:tcPr>
          <w:p w:rsidR="00AF2BF9" w:rsidRPr="00796E12" w:rsidRDefault="00852D14" w:rsidP="008346CC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80%</w:t>
            </w:r>
          </w:p>
        </w:tc>
        <w:tc>
          <w:tcPr>
            <w:tcW w:w="476" w:type="pct"/>
            <w:shd w:val="clear" w:color="auto" w:fill="548DD4" w:themeFill="text2" w:themeFillTint="99"/>
          </w:tcPr>
          <w:p w:rsidR="00AF2BF9" w:rsidRPr="00796E12" w:rsidRDefault="00852D14" w:rsidP="008346CC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12%</w:t>
            </w:r>
          </w:p>
        </w:tc>
        <w:tc>
          <w:tcPr>
            <w:tcW w:w="515" w:type="pct"/>
            <w:shd w:val="clear" w:color="auto" w:fill="548DD4" w:themeFill="text2" w:themeFillTint="99"/>
          </w:tcPr>
          <w:p w:rsidR="00AF2BF9" w:rsidRPr="00796E12" w:rsidRDefault="00852D14" w:rsidP="008346CC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84%</w:t>
            </w:r>
          </w:p>
        </w:tc>
        <w:tc>
          <w:tcPr>
            <w:tcW w:w="476" w:type="pct"/>
            <w:shd w:val="clear" w:color="auto" w:fill="548DD4" w:themeFill="text2" w:themeFillTint="99"/>
          </w:tcPr>
          <w:p w:rsidR="00AF2BF9" w:rsidRPr="00796E12" w:rsidRDefault="00852D14" w:rsidP="008346CC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8%</w:t>
            </w:r>
          </w:p>
        </w:tc>
        <w:tc>
          <w:tcPr>
            <w:tcW w:w="515" w:type="pct"/>
            <w:shd w:val="clear" w:color="auto" w:fill="548DD4" w:themeFill="text2" w:themeFillTint="99"/>
          </w:tcPr>
          <w:p w:rsidR="00AF2BF9" w:rsidRPr="00796E12" w:rsidRDefault="00852D14" w:rsidP="008346CC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76%</w:t>
            </w:r>
          </w:p>
        </w:tc>
        <w:tc>
          <w:tcPr>
            <w:tcW w:w="476" w:type="pct"/>
            <w:shd w:val="clear" w:color="auto" w:fill="548DD4" w:themeFill="text2" w:themeFillTint="99"/>
          </w:tcPr>
          <w:p w:rsidR="00AF2BF9" w:rsidRPr="00796E12" w:rsidRDefault="00852D14" w:rsidP="008346CC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12%</w:t>
            </w:r>
          </w:p>
        </w:tc>
        <w:tc>
          <w:tcPr>
            <w:tcW w:w="515" w:type="pct"/>
            <w:shd w:val="clear" w:color="auto" w:fill="548DD4" w:themeFill="text2" w:themeFillTint="99"/>
          </w:tcPr>
          <w:p w:rsidR="00AF2BF9" w:rsidRPr="00796E12" w:rsidRDefault="00852D14" w:rsidP="008346CC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76%</w:t>
            </w:r>
          </w:p>
        </w:tc>
        <w:tc>
          <w:tcPr>
            <w:tcW w:w="476" w:type="pct"/>
            <w:shd w:val="clear" w:color="auto" w:fill="548DD4" w:themeFill="text2" w:themeFillTint="99"/>
          </w:tcPr>
          <w:p w:rsidR="00AF2BF9" w:rsidRPr="00796E12" w:rsidRDefault="00852D14" w:rsidP="008346CC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32%</w:t>
            </w:r>
          </w:p>
        </w:tc>
        <w:tc>
          <w:tcPr>
            <w:tcW w:w="559" w:type="pct"/>
            <w:shd w:val="clear" w:color="auto" w:fill="548DD4" w:themeFill="text2" w:themeFillTint="99"/>
          </w:tcPr>
          <w:p w:rsidR="00AF2BF9" w:rsidRPr="00796E12" w:rsidRDefault="00852D14" w:rsidP="008346CC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64%</w:t>
            </w:r>
          </w:p>
        </w:tc>
      </w:tr>
      <w:tr w:rsidR="00852D14" w:rsidRPr="004F75EA" w:rsidTr="00852D14">
        <w:trPr>
          <w:trHeight w:val="535"/>
        </w:trPr>
        <w:tc>
          <w:tcPr>
            <w:tcW w:w="477" w:type="pct"/>
            <w:shd w:val="clear" w:color="auto" w:fill="D99594" w:themeFill="accent2" w:themeFillTint="99"/>
          </w:tcPr>
          <w:p w:rsidR="00852D14" w:rsidRPr="00796E12" w:rsidRDefault="00852D14" w:rsidP="00852D14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School (2017)</w:t>
            </w:r>
          </w:p>
        </w:tc>
        <w:tc>
          <w:tcPr>
            <w:tcW w:w="515" w:type="pct"/>
            <w:shd w:val="clear" w:color="auto" w:fill="D99594" w:themeFill="accent2" w:themeFillTint="99"/>
          </w:tcPr>
          <w:p w:rsidR="00852D14" w:rsidRPr="00796E12" w:rsidRDefault="00852D14" w:rsidP="00852D14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69%</w:t>
            </w:r>
          </w:p>
        </w:tc>
        <w:tc>
          <w:tcPr>
            <w:tcW w:w="476" w:type="pct"/>
            <w:shd w:val="clear" w:color="auto" w:fill="D99594" w:themeFill="accent2" w:themeFillTint="99"/>
          </w:tcPr>
          <w:p w:rsidR="00852D14" w:rsidRPr="00796E12" w:rsidRDefault="00852D14" w:rsidP="00852D14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31%</w:t>
            </w:r>
          </w:p>
        </w:tc>
        <w:tc>
          <w:tcPr>
            <w:tcW w:w="515" w:type="pct"/>
            <w:shd w:val="clear" w:color="auto" w:fill="D99594" w:themeFill="accent2" w:themeFillTint="99"/>
          </w:tcPr>
          <w:p w:rsidR="00852D14" w:rsidRPr="00796E12" w:rsidRDefault="00852D14" w:rsidP="00852D14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83%</w:t>
            </w:r>
          </w:p>
        </w:tc>
        <w:tc>
          <w:tcPr>
            <w:tcW w:w="476" w:type="pct"/>
            <w:shd w:val="clear" w:color="auto" w:fill="D99594" w:themeFill="accent2" w:themeFillTint="99"/>
          </w:tcPr>
          <w:p w:rsidR="00852D14" w:rsidRPr="00796E12" w:rsidRDefault="00852D14" w:rsidP="00852D14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14%</w:t>
            </w:r>
          </w:p>
        </w:tc>
        <w:tc>
          <w:tcPr>
            <w:tcW w:w="515" w:type="pct"/>
            <w:shd w:val="clear" w:color="auto" w:fill="D99594" w:themeFill="accent2" w:themeFillTint="99"/>
          </w:tcPr>
          <w:p w:rsidR="00852D14" w:rsidRPr="00796E12" w:rsidRDefault="00852D14" w:rsidP="00852D14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66%</w:t>
            </w:r>
          </w:p>
        </w:tc>
        <w:tc>
          <w:tcPr>
            <w:tcW w:w="476" w:type="pct"/>
            <w:shd w:val="clear" w:color="auto" w:fill="D99594" w:themeFill="accent2" w:themeFillTint="99"/>
          </w:tcPr>
          <w:p w:rsidR="00852D14" w:rsidRPr="00796E12" w:rsidRDefault="00852D14" w:rsidP="00852D14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24%</w:t>
            </w:r>
          </w:p>
        </w:tc>
        <w:tc>
          <w:tcPr>
            <w:tcW w:w="515" w:type="pct"/>
            <w:shd w:val="clear" w:color="auto" w:fill="D99594" w:themeFill="accent2" w:themeFillTint="99"/>
          </w:tcPr>
          <w:p w:rsidR="00852D14" w:rsidRPr="00796E12" w:rsidRDefault="00852D14" w:rsidP="00852D14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58%</w:t>
            </w:r>
          </w:p>
        </w:tc>
        <w:tc>
          <w:tcPr>
            <w:tcW w:w="476" w:type="pct"/>
            <w:shd w:val="clear" w:color="auto" w:fill="D99594" w:themeFill="accent2" w:themeFillTint="99"/>
          </w:tcPr>
          <w:p w:rsidR="00852D14" w:rsidRPr="00796E12" w:rsidRDefault="00852D14" w:rsidP="00852D14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13%</w:t>
            </w:r>
          </w:p>
        </w:tc>
        <w:tc>
          <w:tcPr>
            <w:tcW w:w="559" w:type="pct"/>
            <w:shd w:val="clear" w:color="auto" w:fill="D99594" w:themeFill="accent2" w:themeFillTint="99"/>
          </w:tcPr>
          <w:p w:rsidR="00852D14" w:rsidRPr="00796E12" w:rsidRDefault="00852D14" w:rsidP="00852D14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55%</w:t>
            </w:r>
          </w:p>
        </w:tc>
      </w:tr>
      <w:tr w:rsidR="00852D14" w:rsidRPr="004F75EA" w:rsidTr="00852D14">
        <w:trPr>
          <w:trHeight w:val="535"/>
        </w:trPr>
        <w:tc>
          <w:tcPr>
            <w:tcW w:w="477" w:type="pct"/>
            <w:shd w:val="clear" w:color="auto" w:fill="C2D69B" w:themeFill="accent3" w:themeFillTint="99"/>
          </w:tcPr>
          <w:p w:rsidR="00852D14" w:rsidRPr="00796E12" w:rsidRDefault="00852D14" w:rsidP="00852D14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LA</w:t>
            </w:r>
          </w:p>
        </w:tc>
        <w:tc>
          <w:tcPr>
            <w:tcW w:w="515" w:type="pct"/>
            <w:shd w:val="clear" w:color="auto" w:fill="C2D69B" w:themeFill="accent3" w:themeFillTint="99"/>
          </w:tcPr>
          <w:p w:rsidR="00852D14" w:rsidRPr="00796E12" w:rsidRDefault="00852D14" w:rsidP="00852D14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76</w:t>
            </w:r>
          </w:p>
        </w:tc>
        <w:tc>
          <w:tcPr>
            <w:tcW w:w="476" w:type="pct"/>
            <w:shd w:val="clear" w:color="auto" w:fill="C2D69B" w:themeFill="accent3" w:themeFillTint="99"/>
          </w:tcPr>
          <w:p w:rsidR="00852D14" w:rsidRPr="00796E12" w:rsidRDefault="00852D14" w:rsidP="00852D14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28%</w:t>
            </w:r>
          </w:p>
        </w:tc>
        <w:tc>
          <w:tcPr>
            <w:tcW w:w="515" w:type="pct"/>
            <w:shd w:val="clear" w:color="auto" w:fill="C2D69B" w:themeFill="accent3" w:themeFillTint="99"/>
          </w:tcPr>
          <w:p w:rsidR="00852D14" w:rsidRPr="00796E12" w:rsidRDefault="00852D14" w:rsidP="00852D14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75%</w:t>
            </w:r>
          </w:p>
        </w:tc>
        <w:tc>
          <w:tcPr>
            <w:tcW w:w="476" w:type="pct"/>
            <w:shd w:val="clear" w:color="auto" w:fill="C2D69B" w:themeFill="accent3" w:themeFillTint="99"/>
          </w:tcPr>
          <w:p w:rsidR="00852D14" w:rsidRPr="00796E12" w:rsidRDefault="0084406C" w:rsidP="00852D14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13%</w:t>
            </w:r>
          </w:p>
        </w:tc>
        <w:tc>
          <w:tcPr>
            <w:tcW w:w="515" w:type="pct"/>
            <w:shd w:val="clear" w:color="auto" w:fill="C2D69B" w:themeFill="accent3" w:themeFillTint="99"/>
          </w:tcPr>
          <w:p w:rsidR="00852D14" w:rsidRPr="00796E12" w:rsidRDefault="00852D14" w:rsidP="00852D14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73%</w:t>
            </w:r>
          </w:p>
        </w:tc>
        <w:tc>
          <w:tcPr>
            <w:tcW w:w="476" w:type="pct"/>
            <w:shd w:val="clear" w:color="auto" w:fill="C2D69B" w:themeFill="accent3" w:themeFillTint="99"/>
          </w:tcPr>
          <w:p w:rsidR="00852D14" w:rsidRPr="00796E12" w:rsidRDefault="0084406C" w:rsidP="00852D14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20%</w:t>
            </w:r>
          </w:p>
        </w:tc>
        <w:tc>
          <w:tcPr>
            <w:tcW w:w="515" w:type="pct"/>
            <w:shd w:val="clear" w:color="auto" w:fill="C2D69B" w:themeFill="accent3" w:themeFillTint="99"/>
          </w:tcPr>
          <w:p w:rsidR="00852D14" w:rsidRPr="00796E12" w:rsidRDefault="00852D14" w:rsidP="00852D14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75%</w:t>
            </w:r>
          </w:p>
        </w:tc>
        <w:tc>
          <w:tcPr>
            <w:tcW w:w="476" w:type="pct"/>
            <w:shd w:val="clear" w:color="auto" w:fill="C2D69B" w:themeFill="accent3" w:themeFillTint="99"/>
          </w:tcPr>
          <w:p w:rsidR="00852D14" w:rsidRPr="00796E12" w:rsidRDefault="0084406C" w:rsidP="00852D14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25%</w:t>
            </w:r>
          </w:p>
        </w:tc>
        <w:tc>
          <w:tcPr>
            <w:tcW w:w="559" w:type="pct"/>
            <w:shd w:val="clear" w:color="auto" w:fill="C2D69B" w:themeFill="accent3" w:themeFillTint="99"/>
          </w:tcPr>
          <w:p w:rsidR="00852D14" w:rsidRPr="00796E12" w:rsidRDefault="00852D14" w:rsidP="00852D14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61%</w:t>
            </w:r>
          </w:p>
        </w:tc>
      </w:tr>
      <w:tr w:rsidR="00852D14" w:rsidRPr="004F75EA" w:rsidTr="00852D14">
        <w:trPr>
          <w:trHeight w:val="535"/>
        </w:trPr>
        <w:tc>
          <w:tcPr>
            <w:tcW w:w="477" w:type="pct"/>
            <w:shd w:val="clear" w:color="auto" w:fill="B2A1C7" w:themeFill="accent4" w:themeFillTint="99"/>
          </w:tcPr>
          <w:p w:rsidR="00852D14" w:rsidRPr="00796E12" w:rsidRDefault="00852D14" w:rsidP="00852D14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National</w:t>
            </w:r>
          </w:p>
        </w:tc>
        <w:tc>
          <w:tcPr>
            <w:tcW w:w="515" w:type="pct"/>
            <w:shd w:val="clear" w:color="auto" w:fill="B2A1C7" w:themeFill="accent4" w:themeFillTint="99"/>
          </w:tcPr>
          <w:p w:rsidR="00852D14" w:rsidRPr="00796E12" w:rsidRDefault="00852D14" w:rsidP="00852D14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75%</w:t>
            </w:r>
          </w:p>
        </w:tc>
        <w:tc>
          <w:tcPr>
            <w:tcW w:w="476" w:type="pct"/>
            <w:shd w:val="clear" w:color="auto" w:fill="B2A1C7" w:themeFill="accent4" w:themeFillTint="99"/>
          </w:tcPr>
          <w:p w:rsidR="00852D14" w:rsidRPr="00796E12" w:rsidRDefault="0084406C" w:rsidP="00852D14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28%</w:t>
            </w:r>
          </w:p>
        </w:tc>
        <w:tc>
          <w:tcPr>
            <w:tcW w:w="515" w:type="pct"/>
            <w:shd w:val="clear" w:color="auto" w:fill="B2A1C7" w:themeFill="accent4" w:themeFillTint="99"/>
          </w:tcPr>
          <w:p w:rsidR="00852D14" w:rsidRPr="00796E12" w:rsidRDefault="00852D14" w:rsidP="00852D14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78%</w:t>
            </w:r>
          </w:p>
        </w:tc>
        <w:tc>
          <w:tcPr>
            <w:tcW w:w="476" w:type="pct"/>
            <w:shd w:val="clear" w:color="auto" w:fill="B2A1C7" w:themeFill="accent4" w:themeFillTint="99"/>
          </w:tcPr>
          <w:p w:rsidR="00852D14" w:rsidRPr="00796E12" w:rsidRDefault="0084406C" w:rsidP="00852D14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20%</w:t>
            </w:r>
          </w:p>
        </w:tc>
        <w:tc>
          <w:tcPr>
            <w:tcW w:w="515" w:type="pct"/>
            <w:shd w:val="clear" w:color="auto" w:fill="B2A1C7" w:themeFill="accent4" w:themeFillTint="99"/>
          </w:tcPr>
          <w:p w:rsidR="00852D14" w:rsidRPr="00796E12" w:rsidRDefault="00852D14" w:rsidP="00852D14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75%</w:t>
            </w:r>
          </w:p>
        </w:tc>
        <w:tc>
          <w:tcPr>
            <w:tcW w:w="476" w:type="pct"/>
            <w:shd w:val="clear" w:color="auto" w:fill="B2A1C7" w:themeFill="accent4" w:themeFillTint="99"/>
          </w:tcPr>
          <w:p w:rsidR="00852D14" w:rsidRPr="00796E12" w:rsidRDefault="0084406C" w:rsidP="00852D14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24%</w:t>
            </w:r>
          </w:p>
        </w:tc>
        <w:tc>
          <w:tcPr>
            <w:tcW w:w="515" w:type="pct"/>
            <w:shd w:val="clear" w:color="auto" w:fill="B2A1C7" w:themeFill="accent4" w:themeFillTint="99"/>
          </w:tcPr>
          <w:p w:rsidR="00852D14" w:rsidRPr="00796E12" w:rsidRDefault="00852D14" w:rsidP="00852D14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78%</w:t>
            </w:r>
          </w:p>
        </w:tc>
        <w:tc>
          <w:tcPr>
            <w:tcW w:w="476" w:type="pct"/>
            <w:shd w:val="clear" w:color="auto" w:fill="B2A1C7" w:themeFill="accent4" w:themeFillTint="99"/>
          </w:tcPr>
          <w:p w:rsidR="00852D14" w:rsidRPr="00796E12" w:rsidRDefault="0084406C" w:rsidP="00852D14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31%</w:t>
            </w:r>
          </w:p>
        </w:tc>
        <w:tc>
          <w:tcPr>
            <w:tcW w:w="559" w:type="pct"/>
            <w:shd w:val="clear" w:color="auto" w:fill="B2A1C7" w:themeFill="accent4" w:themeFillTint="99"/>
          </w:tcPr>
          <w:p w:rsidR="00852D14" w:rsidRPr="00796E12" w:rsidRDefault="00852D14" w:rsidP="00852D14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64%</w:t>
            </w:r>
          </w:p>
        </w:tc>
      </w:tr>
    </w:tbl>
    <w:p w:rsidR="00796E12" w:rsidRDefault="00796E12" w:rsidP="008346CC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lang w:eastAsia="en-GB"/>
        </w:rPr>
      </w:pPr>
    </w:p>
    <w:p w:rsidR="004F75EA" w:rsidRPr="004F75EA" w:rsidRDefault="00A61996" w:rsidP="008346CC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000000"/>
          <w:sz w:val="36"/>
          <w:u w:val="single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6"/>
          <w:u w:val="single"/>
          <w:lang w:eastAsia="en-GB"/>
        </w:rPr>
        <w:lastRenderedPageBreak/>
        <w:t>KS1 results for 2018</w:t>
      </w:r>
    </w:p>
    <w:p w:rsidR="004F75EA" w:rsidRPr="00A61996" w:rsidRDefault="008346CC" w:rsidP="008346CC">
      <w:pPr>
        <w:spacing w:after="100" w:afterAutospacing="1" w:line="240" w:lineRule="auto"/>
        <w:rPr>
          <w:rFonts w:ascii="Arial" w:eastAsia="Times New Roman" w:hAnsi="Arial" w:cs="Arial"/>
          <w:bCs/>
          <w:color w:val="000000"/>
          <w:sz w:val="28"/>
          <w:lang w:eastAsia="en-GB"/>
        </w:rPr>
      </w:pPr>
      <w:r w:rsidRPr="008346CC">
        <w:rPr>
          <w:rFonts w:ascii="Arial" w:eastAsia="Times New Roman" w:hAnsi="Arial" w:cs="Arial"/>
          <w:color w:val="000000"/>
          <w:sz w:val="28"/>
          <w:lang w:eastAsia="en-GB"/>
        </w:rPr>
        <w:br/>
        <w:t>In KS1, compared with last year’s cohort, we were very pleased to see that</w:t>
      </w:r>
      <w:r w:rsidR="004F75EA" w:rsidRPr="004F75EA">
        <w:rPr>
          <w:rFonts w:ascii="Arial" w:eastAsia="Times New Roman" w:hAnsi="Arial" w:cs="Arial"/>
          <w:b/>
          <w:bCs/>
          <w:color w:val="000000"/>
          <w:sz w:val="28"/>
          <w:lang w:eastAsia="en-GB"/>
        </w:rPr>
        <w:t xml:space="preserve"> </w:t>
      </w:r>
      <w:r w:rsidR="00A61996">
        <w:rPr>
          <w:rFonts w:ascii="Arial" w:eastAsia="Times New Roman" w:hAnsi="Arial" w:cs="Arial"/>
          <w:b/>
          <w:bCs/>
          <w:color w:val="000000"/>
          <w:sz w:val="28"/>
          <w:u w:val="single"/>
          <w:lang w:eastAsia="en-GB"/>
        </w:rPr>
        <w:t>ALL THREE AREAS ARE</w:t>
      </w:r>
      <w:r w:rsidR="004F75EA" w:rsidRPr="006A1CBD">
        <w:rPr>
          <w:rFonts w:ascii="Arial" w:eastAsia="Times New Roman" w:hAnsi="Arial" w:cs="Arial"/>
          <w:b/>
          <w:bCs/>
          <w:color w:val="000000"/>
          <w:sz w:val="28"/>
          <w:u w:val="single"/>
          <w:lang w:eastAsia="en-GB"/>
        </w:rPr>
        <w:t xml:space="preserve"> ABOVE THE NATIONAL AND LOCAL AUTHORITY AVERAGE.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92"/>
        <w:gridCol w:w="2792"/>
        <w:gridCol w:w="2784"/>
        <w:gridCol w:w="2790"/>
        <w:gridCol w:w="2790"/>
      </w:tblGrid>
      <w:tr w:rsidR="004F75EA" w:rsidRPr="00AF2BF9" w:rsidTr="004F75EA">
        <w:trPr>
          <w:trHeight w:val="535"/>
        </w:trPr>
        <w:tc>
          <w:tcPr>
            <w:tcW w:w="5000" w:type="pct"/>
            <w:gridSpan w:val="5"/>
            <w:shd w:val="clear" w:color="auto" w:fill="FFFFFF" w:themeFill="background1"/>
          </w:tcPr>
          <w:p w:rsidR="004F75EA" w:rsidRPr="00796E12" w:rsidRDefault="004F75EA" w:rsidP="004412F5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%of children meeting Age Related Expectations</w:t>
            </w:r>
          </w:p>
        </w:tc>
      </w:tr>
      <w:tr w:rsidR="004F75EA" w:rsidRPr="00AF2BF9" w:rsidTr="004F75EA">
        <w:trPr>
          <w:trHeight w:val="535"/>
        </w:trPr>
        <w:tc>
          <w:tcPr>
            <w:tcW w:w="1001" w:type="pct"/>
            <w:shd w:val="clear" w:color="auto" w:fill="FFFFFF" w:themeFill="background1"/>
          </w:tcPr>
          <w:p w:rsidR="004F75EA" w:rsidRPr="00796E12" w:rsidRDefault="00A61996" w:rsidP="004412F5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KS1 2018</w:t>
            </w:r>
          </w:p>
        </w:tc>
        <w:tc>
          <w:tcPr>
            <w:tcW w:w="1001" w:type="pct"/>
            <w:shd w:val="clear" w:color="auto" w:fill="FFFFFF" w:themeFill="background1"/>
          </w:tcPr>
          <w:p w:rsidR="004F75EA" w:rsidRPr="00796E12" w:rsidRDefault="004F75EA" w:rsidP="004412F5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Reading</w:t>
            </w:r>
          </w:p>
        </w:tc>
        <w:tc>
          <w:tcPr>
            <w:tcW w:w="998" w:type="pct"/>
            <w:shd w:val="clear" w:color="auto" w:fill="FFFFFF" w:themeFill="background1"/>
          </w:tcPr>
          <w:p w:rsidR="004F75EA" w:rsidRPr="00796E12" w:rsidRDefault="004F75EA" w:rsidP="004412F5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Writing</w:t>
            </w:r>
          </w:p>
        </w:tc>
        <w:tc>
          <w:tcPr>
            <w:tcW w:w="1000" w:type="pct"/>
            <w:shd w:val="clear" w:color="auto" w:fill="FFFFFF" w:themeFill="background1"/>
          </w:tcPr>
          <w:p w:rsidR="004F75EA" w:rsidRPr="00796E12" w:rsidRDefault="004F75EA" w:rsidP="004412F5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Maths</w:t>
            </w:r>
          </w:p>
        </w:tc>
        <w:tc>
          <w:tcPr>
            <w:tcW w:w="1000" w:type="pct"/>
            <w:shd w:val="clear" w:color="auto" w:fill="FFFFFF" w:themeFill="background1"/>
          </w:tcPr>
          <w:p w:rsidR="004F75EA" w:rsidRPr="00796E12" w:rsidRDefault="004F75EA" w:rsidP="004412F5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Reading writing maths combined</w:t>
            </w:r>
          </w:p>
        </w:tc>
      </w:tr>
      <w:tr w:rsidR="004F75EA" w:rsidRPr="00AF2BF9" w:rsidTr="004F75EA">
        <w:trPr>
          <w:trHeight w:val="535"/>
        </w:trPr>
        <w:tc>
          <w:tcPr>
            <w:tcW w:w="1001" w:type="pct"/>
            <w:shd w:val="clear" w:color="auto" w:fill="548DD4" w:themeFill="text2" w:themeFillTint="99"/>
          </w:tcPr>
          <w:p w:rsidR="004F75EA" w:rsidRPr="00796E12" w:rsidRDefault="00A61996" w:rsidP="004412F5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School (2018)</w:t>
            </w:r>
          </w:p>
        </w:tc>
        <w:tc>
          <w:tcPr>
            <w:tcW w:w="1001" w:type="pct"/>
            <w:shd w:val="clear" w:color="auto" w:fill="548DD4" w:themeFill="text2" w:themeFillTint="99"/>
          </w:tcPr>
          <w:p w:rsidR="004F75EA" w:rsidRPr="00796E12" w:rsidRDefault="00A61996" w:rsidP="004412F5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77%</w:t>
            </w:r>
          </w:p>
        </w:tc>
        <w:tc>
          <w:tcPr>
            <w:tcW w:w="998" w:type="pct"/>
            <w:shd w:val="clear" w:color="auto" w:fill="548DD4" w:themeFill="text2" w:themeFillTint="99"/>
          </w:tcPr>
          <w:p w:rsidR="004F75EA" w:rsidRPr="00796E12" w:rsidRDefault="00A61996" w:rsidP="004412F5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73%</w:t>
            </w:r>
          </w:p>
        </w:tc>
        <w:tc>
          <w:tcPr>
            <w:tcW w:w="1000" w:type="pct"/>
            <w:shd w:val="clear" w:color="auto" w:fill="548DD4" w:themeFill="text2" w:themeFillTint="99"/>
          </w:tcPr>
          <w:p w:rsidR="004F75EA" w:rsidRPr="00796E12" w:rsidRDefault="00A61996" w:rsidP="004412F5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90%</w:t>
            </w:r>
          </w:p>
        </w:tc>
        <w:tc>
          <w:tcPr>
            <w:tcW w:w="1000" w:type="pct"/>
            <w:shd w:val="clear" w:color="auto" w:fill="548DD4" w:themeFill="text2" w:themeFillTint="99"/>
          </w:tcPr>
          <w:p w:rsidR="004F75EA" w:rsidRPr="00796E12" w:rsidRDefault="00A61996" w:rsidP="004412F5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70%</w:t>
            </w:r>
          </w:p>
        </w:tc>
      </w:tr>
      <w:tr w:rsidR="00A61996" w:rsidRPr="00AF2BF9" w:rsidTr="004F75EA">
        <w:trPr>
          <w:trHeight w:val="535"/>
        </w:trPr>
        <w:tc>
          <w:tcPr>
            <w:tcW w:w="1001" w:type="pct"/>
            <w:shd w:val="clear" w:color="auto" w:fill="D99594" w:themeFill="accent2" w:themeFillTint="99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School (2017)</w:t>
            </w:r>
          </w:p>
        </w:tc>
        <w:tc>
          <w:tcPr>
            <w:tcW w:w="1001" w:type="pct"/>
            <w:shd w:val="clear" w:color="auto" w:fill="D99594" w:themeFill="accent2" w:themeFillTint="99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93%</w:t>
            </w:r>
          </w:p>
        </w:tc>
        <w:tc>
          <w:tcPr>
            <w:tcW w:w="998" w:type="pct"/>
            <w:shd w:val="clear" w:color="auto" w:fill="D99594" w:themeFill="accent2" w:themeFillTint="99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89%</w:t>
            </w:r>
          </w:p>
        </w:tc>
        <w:tc>
          <w:tcPr>
            <w:tcW w:w="1000" w:type="pct"/>
            <w:shd w:val="clear" w:color="auto" w:fill="D99594" w:themeFill="accent2" w:themeFillTint="99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97%</w:t>
            </w:r>
          </w:p>
        </w:tc>
        <w:tc>
          <w:tcPr>
            <w:tcW w:w="1000" w:type="pct"/>
            <w:shd w:val="clear" w:color="auto" w:fill="D99594" w:themeFill="accent2" w:themeFillTint="99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86%</w:t>
            </w:r>
          </w:p>
        </w:tc>
      </w:tr>
      <w:tr w:rsidR="00A61996" w:rsidRPr="00AF2BF9" w:rsidTr="004F75EA">
        <w:trPr>
          <w:trHeight w:val="535"/>
        </w:trPr>
        <w:tc>
          <w:tcPr>
            <w:tcW w:w="1001" w:type="pct"/>
            <w:shd w:val="clear" w:color="auto" w:fill="C2D69B" w:themeFill="accent3" w:themeFillTint="99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LA</w:t>
            </w:r>
          </w:p>
        </w:tc>
        <w:tc>
          <w:tcPr>
            <w:tcW w:w="1001" w:type="pct"/>
            <w:shd w:val="clear" w:color="auto" w:fill="C2D69B" w:themeFill="accent3" w:themeFillTint="99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75%</w:t>
            </w:r>
          </w:p>
        </w:tc>
        <w:tc>
          <w:tcPr>
            <w:tcW w:w="998" w:type="pct"/>
            <w:shd w:val="clear" w:color="auto" w:fill="C2D69B" w:themeFill="accent3" w:themeFillTint="99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66%</w:t>
            </w:r>
          </w:p>
        </w:tc>
        <w:tc>
          <w:tcPr>
            <w:tcW w:w="1000" w:type="pct"/>
            <w:shd w:val="clear" w:color="auto" w:fill="C2D69B" w:themeFill="accent3" w:themeFillTint="99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74%</w:t>
            </w:r>
          </w:p>
        </w:tc>
        <w:tc>
          <w:tcPr>
            <w:tcW w:w="1000" w:type="pct"/>
            <w:shd w:val="clear" w:color="auto" w:fill="C2D69B" w:themeFill="accent3" w:themeFillTint="99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62%</w:t>
            </w:r>
          </w:p>
        </w:tc>
      </w:tr>
      <w:tr w:rsidR="00A61996" w:rsidRPr="00AF2BF9" w:rsidTr="004F75EA">
        <w:trPr>
          <w:trHeight w:val="535"/>
        </w:trPr>
        <w:tc>
          <w:tcPr>
            <w:tcW w:w="1001" w:type="pct"/>
            <w:shd w:val="clear" w:color="auto" w:fill="B2A1C7" w:themeFill="accent4" w:themeFillTint="99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National</w:t>
            </w:r>
          </w:p>
        </w:tc>
        <w:tc>
          <w:tcPr>
            <w:tcW w:w="1001" w:type="pct"/>
            <w:shd w:val="clear" w:color="auto" w:fill="B2A1C7" w:themeFill="accent4" w:themeFillTint="99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75%</w:t>
            </w:r>
          </w:p>
        </w:tc>
        <w:tc>
          <w:tcPr>
            <w:tcW w:w="998" w:type="pct"/>
            <w:shd w:val="clear" w:color="auto" w:fill="B2A1C7" w:themeFill="accent4" w:themeFillTint="99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69%</w:t>
            </w:r>
          </w:p>
        </w:tc>
        <w:tc>
          <w:tcPr>
            <w:tcW w:w="1000" w:type="pct"/>
            <w:shd w:val="clear" w:color="auto" w:fill="B2A1C7" w:themeFill="accent4" w:themeFillTint="99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76%</w:t>
            </w:r>
          </w:p>
        </w:tc>
        <w:tc>
          <w:tcPr>
            <w:tcW w:w="1000" w:type="pct"/>
            <w:shd w:val="clear" w:color="auto" w:fill="B2A1C7" w:themeFill="accent4" w:themeFillTint="99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65%</w:t>
            </w:r>
          </w:p>
        </w:tc>
      </w:tr>
    </w:tbl>
    <w:p w:rsidR="008346CC" w:rsidRPr="008346CC" w:rsidRDefault="008346CC" w:rsidP="008346CC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lang w:eastAsia="en-GB"/>
        </w:rPr>
      </w:pPr>
    </w:p>
    <w:p w:rsidR="008346CC" w:rsidRDefault="008346CC" w:rsidP="008346CC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6E1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>Phonics and EYFS </w:t>
      </w:r>
      <w:r w:rsidRPr="008346CC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>Once again we were </w:t>
      </w:r>
      <w:r w:rsidRPr="00796E1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>above</w:t>
      </w:r>
      <w:r w:rsidRPr="008346CC">
        <w:rPr>
          <w:rFonts w:ascii="Arial" w:eastAsia="Times New Roman" w:hAnsi="Arial" w:cs="Arial"/>
          <w:color w:val="000000"/>
          <w:sz w:val="28"/>
          <w:szCs w:val="28"/>
          <w:u w:val="single"/>
          <w:lang w:eastAsia="en-GB"/>
        </w:rPr>
        <w:t> </w:t>
      </w:r>
      <w:r w:rsidRPr="008346C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both County and National figures in phonics</w:t>
      </w:r>
      <w:r w:rsidR="006A1CBD" w:rsidRPr="00796E1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. </w:t>
      </w:r>
      <w:r w:rsidRPr="008346C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This is as a result of the continued t</w:t>
      </w:r>
      <w:r w:rsidR="006A1CBD" w:rsidRPr="00796E1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argeted support that </w:t>
      </w:r>
      <w:r w:rsidRPr="008346C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children receive </w:t>
      </w:r>
      <w:r w:rsidR="006A1CBD" w:rsidRPr="00796E1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through high quality phonics teaching EYFS and KS1</w:t>
      </w:r>
      <w:r w:rsidRPr="008346CC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>In EYFS our scores are</w:t>
      </w:r>
      <w:r w:rsidRPr="00A61996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n-GB"/>
        </w:rPr>
        <w:t xml:space="preserve"> </w:t>
      </w:r>
      <w:r w:rsidR="00A61996" w:rsidRPr="00A61996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n-GB"/>
        </w:rPr>
        <w:t>above</w:t>
      </w:r>
      <w:r w:rsidR="006A1CBD" w:rsidRPr="00796E1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994C5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both </w:t>
      </w:r>
      <w:r w:rsidRPr="008346C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County and National </w:t>
      </w:r>
      <w:r w:rsidR="006A1CBD" w:rsidRPr="00796E1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. </w:t>
      </w:r>
      <w:r w:rsidRPr="008346C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This reflects the current cohort</w:t>
      </w:r>
      <w:r w:rsidR="00994C5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 good</w:t>
      </w:r>
      <w:r w:rsidR="006A1CBD" w:rsidRPr="00796E1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progress</w:t>
      </w:r>
      <w:r w:rsidRPr="008346C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, </w:t>
      </w:r>
      <w:r w:rsidR="006A1CBD" w:rsidRPr="00796E1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in </w:t>
      </w:r>
      <w:r w:rsidRPr="008346C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their Early Learning Goals compared</w:t>
      </w:r>
      <w:r w:rsidR="00994C5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to their baseline scores in Autumn 2017.</w:t>
      </w:r>
    </w:p>
    <w:p w:rsidR="00A61996" w:rsidRDefault="00A61996" w:rsidP="008346CC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A61996" w:rsidRPr="00796E12" w:rsidRDefault="00A61996" w:rsidP="008346CC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8"/>
          <w:lang w:eastAsia="en-GB"/>
        </w:rPr>
      </w:pPr>
    </w:p>
    <w:tbl>
      <w:tblPr>
        <w:tblStyle w:val="TableGrid"/>
        <w:tblpPr w:leftFromText="180" w:rightFromText="180" w:vertAnchor="text" w:horzAnchor="margin" w:tblpY="46"/>
        <w:tblW w:w="2002" w:type="pct"/>
        <w:tblLook w:val="04A0" w:firstRow="1" w:lastRow="0" w:firstColumn="1" w:lastColumn="0" w:noHBand="0" w:noVBand="1"/>
      </w:tblPr>
      <w:tblGrid>
        <w:gridCol w:w="2792"/>
        <w:gridCol w:w="2793"/>
      </w:tblGrid>
      <w:tr w:rsidR="00A61996" w:rsidRPr="00796E12" w:rsidTr="00A61996">
        <w:trPr>
          <w:trHeight w:val="535"/>
        </w:trPr>
        <w:tc>
          <w:tcPr>
            <w:tcW w:w="5000" w:type="pct"/>
            <w:gridSpan w:val="2"/>
            <w:shd w:val="clear" w:color="auto" w:fill="FFFFFF" w:themeFill="background1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lastRenderedPageBreak/>
              <w:t>% of children meeting Age Related Expectations in Phonics</w:t>
            </w:r>
          </w:p>
        </w:tc>
      </w:tr>
      <w:tr w:rsidR="00A61996" w:rsidRPr="00796E12" w:rsidTr="00A61996">
        <w:trPr>
          <w:trHeight w:val="535"/>
        </w:trPr>
        <w:tc>
          <w:tcPr>
            <w:tcW w:w="2500" w:type="pct"/>
            <w:shd w:val="clear" w:color="auto" w:fill="FFFFFF" w:themeFill="background1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Yr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 xml:space="preserve"> 1  2018</w:t>
            </w:r>
          </w:p>
        </w:tc>
        <w:tc>
          <w:tcPr>
            <w:tcW w:w="2500" w:type="pct"/>
            <w:shd w:val="clear" w:color="auto" w:fill="FFFFFF" w:themeFill="background1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Phonics</w:t>
            </w:r>
          </w:p>
        </w:tc>
      </w:tr>
      <w:tr w:rsidR="00A61996" w:rsidRPr="00796E12" w:rsidTr="00A61996">
        <w:trPr>
          <w:trHeight w:val="535"/>
        </w:trPr>
        <w:tc>
          <w:tcPr>
            <w:tcW w:w="2500" w:type="pct"/>
            <w:shd w:val="clear" w:color="auto" w:fill="548DD4" w:themeFill="text2" w:themeFillTint="99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School (2018)</w:t>
            </w:r>
          </w:p>
        </w:tc>
        <w:tc>
          <w:tcPr>
            <w:tcW w:w="2500" w:type="pct"/>
            <w:shd w:val="clear" w:color="auto" w:fill="548DD4" w:themeFill="text2" w:themeFillTint="99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90%</w:t>
            </w:r>
          </w:p>
        </w:tc>
      </w:tr>
      <w:tr w:rsidR="00A61996" w:rsidRPr="00796E12" w:rsidTr="00A61996">
        <w:trPr>
          <w:trHeight w:val="535"/>
        </w:trPr>
        <w:tc>
          <w:tcPr>
            <w:tcW w:w="2500" w:type="pct"/>
            <w:shd w:val="clear" w:color="auto" w:fill="D99594" w:themeFill="accent2" w:themeFillTint="99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School (2017)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83%</w:t>
            </w:r>
          </w:p>
        </w:tc>
      </w:tr>
      <w:tr w:rsidR="00A61996" w:rsidRPr="00796E12" w:rsidTr="00A61996">
        <w:trPr>
          <w:trHeight w:val="535"/>
        </w:trPr>
        <w:tc>
          <w:tcPr>
            <w:tcW w:w="2500" w:type="pct"/>
            <w:shd w:val="clear" w:color="auto" w:fill="C2D69B" w:themeFill="accent3" w:themeFillTint="99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LA</w:t>
            </w:r>
          </w:p>
        </w:tc>
        <w:tc>
          <w:tcPr>
            <w:tcW w:w="2500" w:type="pct"/>
            <w:shd w:val="clear" w:color="auto" w:fill="C2D69B" w:themeFill="accent3" w:themeFillTint="99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81</w:t>
            </w: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%</w:t>
            </w:r>
          </w:p>
        </w:tc>
      </w:tr>
      <w:tr w:rsidR="00A61996" w:rsidRPr="00796E12" w:rsidTr="00A61996">
        <w:trPr>
          <w:trHeight w:val="535"/>
        </w:trPr>
        <w:tc>
          <w:tcPr>
            <w:tcW w:w="2500" w:type="pct"/>
            <w:shd w:val="clear" w:color="auto" w:fill="B2A1C7" w:themeFill="accent4" w:themeFillTint="99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National</w:t>
            </w:r>
          </w:p>
        </w:tc>
        <w:tc>
          <w:tcPr>
            <w:tcW w:w="2500" w:type="pct"/>
            <w:shd w:val="clear" w:color="auto" w:fill="B2A1C7" w:themeFill="accent4" w:themeFillTint="99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82</w:t>
            </w: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%</w:t>
            </w:r>
          </w:p>
        </w:tc>
      </w:tr>
    </w:tbl>
    <w:tbl>
      <w:tblPr>
        <w:tblStyle w:val="TableGrid"/>
        <w:tblpPr w:leftFromText="180" w:rightFromText="180" w:vertAnchor="text" w:horzAnchor="page" w:tblpX="7618" w:tblpY="76"/>
        <w:tblW w:w="2002" w:type="pct"/>
        <w:tblLook w:val="04A0" w:firstRow="1" w:lastRow="0" w:firstColumn="1" w:lastColumn="0" w:noHBand="0" w:noVBand="1"/>
      </w:tblPr>
      <w:tblGrid>
        <w:gridCol w:w="2792"/>
        <w:gridCol w:w="2793"/>
      </w:tblGrid>
      <w:tr w:rsidR="00A61996" w:rsidRPr="00796E12" w:rsidTr="00A61996">
        <w:trPr>
          <w:trHeight w:val="535"/>
        </w:trPr>
        <w:tc>
          <w:tcPr>
            <w:tcW w:w="5000" w:type="pct"/>
            <w:gridSpan w:val="2"/>
            <w:shd w:val="clear" w:color="auto" w:fill="FFFFFF" w:themeFill="background1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% of children meeting Good level of Development (GLD) in EYFS</w:t>
            </w:r>
          </w:p>
        </w:tc>
      </w:tr>
      <w:tr w:rsidR="00A61996" w:rsidRPr="00796E12" w:rsidTr="00A61996">
        <w:trPr>
          <w:trHeight w:val="535"/>
        </w:trPr>
        <w:tc>
          <w:tcPr>
            <w:tcW w:w="2500" w:type="pct"/>
            <w:shd w:val="clear" w:color="auto" w:fill="FFFFFF" w:themeFill="background1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EYFS  2018</w:t>
            </w:r>
          </w:p>
        </w:tc>
        <w:tc>
          <w:tcPr>
            <w:tcW w:w="2500" w:type="pct"/>
            <w:shd w:val="clear" w:color="auto" w:fill="FFFFFF" w:themeFill="background1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GLD</w:t>
            </w:r>
          </w:p>
        </w:tc>
      </w:tr>
      <w:tr w:rsidR="00A61996" w:rsidRPr="00796E12" w:rsidTr="00A61996">
        <w:trPr>
          <w:trHeight w:val="535"/>
        </w:trPr>
        <w:tc>
          <w:tcPr>
            <w:tcW w:w="2500" w:type="pct"/>
            <w:shd w:val="clear" w:color="auto" w:fill="548DD4" w:themeFill="text2" w:themeFillTint="99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School ( 2018)</w:t>
            </w:r>
          </w:p>
        </w:tc>
        <w:tc>
          <w:tcPr>
            <w:tcW w:w="2500" w:type="pct"/>
            <w:shd w:val="clear" w:color="auto" w:fill="548DD4" w:themeFill="text2" w:themeFillTint="99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79%</w:t>
            </w:r>
          </w:p>
        </w:tc>
      </w:tr>
      <w:tr w:rsidR="00A61996" w:rsidRPr="00796E12" w:rsidTr="00A61996">
        <w:trPr>
          <w:trHeight w:val="535"/>
        </w:trPr>
        <w:tc>
          <w:tcPr>
            <w:tcW w:w="2500" w:type="pct"/>
            <w:shd w:val="clear" w:color="auto" w:fill="D99594" w:themeFill="accent2" w:themeFillTint="99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School (2017)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97%</w:t>
            </w:r>
          </w:p>
        </w:tc>
      </w:tr>
      <w:tr w:rsidR="00A61996" w:rsidRPr="00796E12" w:rsidTr="00A61996">
        <w:trPr>
          <w:trHeight w:val="535"/>
        </w:trPr>
        <w:tc>
          <w:tcPr>
            <w:tcW w:w="2500" w:type="pct"/>
            <w:shd w:val="clear" w:color="auto" w:fill="C2D69B" w:themeFill="accent3" w:themeFillTint="99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LA</w:t>
            </w:r>
          </w:p>
        </w:tc>
        <w:tc>
          <w:tcPr>
            <w:tcW w:w="2500" w:type="pct"/>
            <w:shd w:val="clear" w:color="auto" w:fill="C2D69B" w:themeFill="accent3" w:themeFillTint="99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71%</w:t>
            </w:r>
          </w:p>
        </w:tc>
      </w:tr>
      <w:tr w:rsidR="00A61996" w:rsidRPr="00796E12" w:rsidTr="00A61996">
        <w:trPr>
          <w:trHeight w:val="535"/>
        </w:trPr>
        <w:tc>
          <w:tcPr>
            <w:tcW w:w="2500" w:type="pct"/>
            <w:shd w:val="clear" w:color="auto" w:fill="B2A1C7" w:themeFill="accent4" w:themeFillTint="99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National</w:t>
            </w:r>
          </w:p>
        </w:tc>
        <w:tc>
          <w:tcPr>
            <w:tcW w:w="2500" w:type="pct"/>
            <w:shd w:val="clear" w:color="auto" w:fill="B2A1C7" w:themeFill="accent4" w:themeFillTint="99"/>
          </w:tcPr>
          <w:p w:rsidR="00A61996" w:rsidRPr="00796E12" w:rsidRDefault="00A61996" w:rsidP="00A61996">
            <w:pPr>
              <w:spacing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71</w:t>
            </w:r>
            <w:r w:rsidRPr="00796E12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%</w:t>
            </w:r>
          </w:p>
        </w:tc>
      </w:tr>
    </w:tbl>
    <w:p w:rsidR="006A1CBD" w:rsidRPr="00796E12" w:rsidRDefault="006A1CBD" w:rsidP="008346CC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lang w:eastAsia="en-GB"/>
        </w:rPr>
      </w:pPr>
    </w:p>
    <w:p w:rsidR="008346CC" w:rsidRPr="008346CC" w:rsidRDefault="008346CC" w:rsidP="008346CC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lang w:eastAsia="en-GB"/>
        </w:rPr>
      </w:pPr>
    </w:p>
    <w:p w:rsidR="00A61996" w:rsidRDefault="00A61996" w:rsidP="008346CC">
      <w:pPr>
        <w:spacing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u w:val="single"/>
          <w:lang w:eastAsia="en-GB"/>
        </w:rPr>
      </w:pPr>
    </w:p>
    <w:p w:rsidR="00A61996" w:rsidRDefault="00A61996" w:rsidP="008346CC">
      <w:pPr>
        <w:spacing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u w:val="single"/>
          <w:lang w:eastAsia="en-GB"/>
        </w:rPr>
      </w:pPr>
    </w:p>
    <w:p w:rsidR="00A61996" w:rsidRDefault="00A61996" w:rsidP="008346CC">
      <w:pPr>
        <w:spacing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u w:val="single"/>
          <w:lang w:eastAsia="en-GB"/>
        </w:rPr>
      </w:pPr>
    </w:p>
    <w:p w:rsidR="00A61996" w:rsidRDefault="00A61996" w:rsidP="008346CC">
      <w:pPr>
        <w:spacing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u w:val="single"/>
          <w:lang w:eastAsia="en-GB"/>
        </w:rPr>
      </w:pPr>
    </w:p>
    <w:p w:rsidR="00A61996" w:rsidRDefault="00A61996" w:rsidP="008346CC">
      <w:pPr>
        <w:spacing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u w:val="single"/>
          <w:lang w:eastAsia="en-GB"/>
        </w:rPr>
      </w:pPr>
    </w:p>
    <w:p w:rsidR="008346CC" w:rsidRPr="008346CC" w:rsidRDefault="008346CC" w:rsidP="008346CC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lang w:eastAsia="en-GB"/>
        </w:rPr>
      </w:pPr>
      <w:r w:rsidRPr="008346CC">
        <w:rPr>
          <w:rFonts w:ascii="Verdana" w:eastAsia="Times New Roman" w:hAnsi="Verdana" w:cs="Times New Roman"/>
          <w:b/>
          <w:bCs/>
          <w:color w:val="000000"/>
          <w:u w:val="single"/>
          <w:lang w:eastAsia="en-GB"/>
        </w:rPr>
        <w:t>Summary </w:t>
      </w:r>
      <w:r w:rsidRPr="008346CC">
        <w:rPr>
          <w:rFonts w:ascii="Verdana" w:eastAsia="Times New Roman" w:hAnsi="Verdana" w:cs="Times New Roman"/>
          <w:color w:val="000000"/>
          <w:lang w:eastAsia="en-GB"/>
        </w:rPr>
        <w:br/>
      </w:r>
      <w:r w:rsidRPr="008346CC">
        <w:rPr>
          <w:rFonts w:ascii="Arial" w:eastAsia="Times New Roman" w:hAnsi="Arial" w:cs="Arial"/>
          <w:color w:val="000000"/>
          <w:sz w:val="28"/>
          <w:lang w:eastAsia="en-GB"/>
        </w:rPr>
        <w:t xml:space="preserve">As we expected, there are some very pleasing results </w:t>
      </w:r>
      <w:r w:rsidR="00796E12" w:rsidRPr="00796E12">
        <w:rPr>
          <w:rFonts w:ascii="Arial" w:eastAsia="Times New Roman" w:hAnsi="Arial" w:cs="Arial"/>
          <w:color w:val="000000"/>
          <w:sz w:val="28"/>
          <w:lang w:eastAsia="en-GB"/>
        </w:rPr>
        <w:t>at the March CE Primary</w:t>
      </w:r>
      <w:r w:rsidRPr="008346CC">
        <w:rPr>
          <w:rFonts w:ascii="Arial" w:eastAsia="Times New Roman" w:hAnsi="Arial" w:cs="Arial"/>
          <w:color w:val="000000"/>
          <w:sz w:val="28"/>
          <w:lang w:eastAsia="en-GB"/>
        </w:rPr>
        <w:t xml:space="preserve">.  It shows that all staff have worked hard to improve results on last year </w:t>
      </w:r>
      <w:r w:rsidR="00796E12" w:rsidRPr="00796E12">
        <w:rPr>
          <w:rFonts w:ascii="Arial" w:eastAsia="Times New Roman" w:hAnsi="Arial" w:cs="Arial"/>
          <w:color w:val="000000"/>
          <w:sz w:val="28"/>
          <w:lang w:eastAsia="en-GB"/>
        </w:rPr>
        <w:t xml:space="preserve">and are closing the </w:t>
      </w:r>
      <w:r w:rsidRPr="008346CC">
        <w:rPr>
          <w:rFonts w:ascii="Arial" w:eastAsia="Times New Roman" w:hAnsi="Arial" w:cs="Arial"/>
          <w:color w:val="000000"/>
          <w:sz w:val="28"/>
          <w:lang w:eastAsia="en-GB"/>
        </w:rPr>
        <w:t>gaps on national figures or risen above them.</w:t>
      </w:r>
      <w:r w:rsidRPr="008346CC">
        <w:rPr>
          <w:rFonts w:ascii="Arial" w:eastAsia="Times New Roman" w:hAnsi="Arial" w:cs="Arial"/>
          <w:color w:val="000000"/>
          <w:sz w:val="28"/>
          <w:lang w:eastAsia="en-GB"/>
        </w:rPr>
        <w:br/>
        <w:t xml:space="preserve">However, we know </w:t>
      </w:r>
      <w:r w:rsidR="00994C52">
        <w:rPr>
          <w:rFonts w:ascii="Arial" w:eastAsia="Times New Roman" w:hAnsi="Arial" w:cs="Arial"/>
          <w:color w:val="000000"/>
          <w:sz w:val="28"/>
          <w:lang w:eastAsia="en-GB"/>
        </w:rPr>
        <w:t xml:space="preserve">that we always </w:t>
      </w:r>
      <w:r w:rsidRPr="008346CC">
        <w:rPr>
          <w:rFonts w:ascii="Arial" w:eastAsia="Times New Roman" w:hAnsi="Arial" w:cs="Arial"/>
          <w:color w:val="000000"/>
          <w:sz w:val="28"/>
          <w:lang w:eastAsia="en-GB"/>
        </w:rPr>
        <w:t>still have work to do, and are determined to close our remaining key gaps</w:t>
      </w:r>
      <w:r w:rsidR="008C6DCE">
        <w:rPr>
          <w:rFonts w:ascii="Arial" w:eastAsia="Times New Roman" w:hAnsi="Arial" w:cs="Arial"/>
          <w:color w:val="000000"/>
          <w:sz w:val="28"/>
          <w:lang w:eastAsia="en-GB"/>
        </w:rPr>
        <w:t xml:space="preserve"> in scaled scores</w:t>
      </w:r>
      <w:r w:rsidR="00994C52">
        <w:rPr>
          <w:rFonts w:ascii="Arial" w:eastAsia="Times New Roman" w:hAnsi="Arial" w:cs="Arial"/>
          <w:color w:val="000000"/>
          <w:sz w:val="28"/>
          <w:lang w:eastAsia="en-GB"/>
        </w:rPr>
        <w:t xml:space="preserve"> and maths</w:t>
      </w:r>
      <w:r w:rsidRPr="008346CC">
        <w:rPr>
          <w:rFonts w:ascii="Arial" w:eastAsia="Times New Roman" w:hAnsi="Arial" w:cs="Arial"/>
          <w:color w:val="000000"/>
          <w:sz w:val="28"/>
          <w:lang w:eastAsia="en-GB"/>
        </w:rPr>
        <w:t>, so our focus next year remains:</w:t>
      </w:r>
    </w:p>
    <w:p w:rsidR="008346CC" w:rsidRPr="008346CC" w:rsidRDefault="008346CC" w:rsidP="008346CC">
      <w:pPr>
        <w:numPr>
          <w:ilvl w:val="0"/>
          <w:numId w:val="1"/>
        </w:numPr>
        <w:spacing w:before="100" w:beforeAutospacing="1" w:after="100" w:afterAutospacing="1" w:line="240" w:lineRule="auto"/>
        <w:ind w:left="543"/>
        <w:rPr>
          <w:rFonts w:ascii="Arial" w:eastAsia="Times New Roman" w:hAnsi="Arial" w:cs="Arial"/>
          <w:color w:val="000000"/>
          <w:sz w:val="28"/>
          <w:lang w:eastAsia="en-GB"/>
        </w:rPr>
      </w:pPr>
      <w:r w:rsidRPr="008346CC">
        <w:rPr>
          <w:rFonts w:ascii="Arial" w:eastAsia="Times New Roman" w:hAnsi="Arial" w:cs="Arial"/>
          <w:color w:val="000000"/>
          <w:sz w:val="28"/>
          <w:lang w:eastAsia="en-GB"/>
        </w:rPr>
        <w:t>Raising attainment in KS2 mathematics</w:t>
      </w:r>
    </w:p>
    <w:p w:rsidR="008346CC" w:rsidRPr="008C6DCE" w:rsidRDefault="008346CC" w:rsidP="008C6DCE">
      <w:pPr>
        <w:numPr>
          <w:ilvl w:val="0"/>
          <w:numId w:val="1"/>
        </w:numPr>
        <w:spacing w:before="100" w:beforeAutospacing="1" w:after="100" w:afterAutospacing="1" w:line="240" w:lineRule="auto"/>
        <w:ind w:left="543"/>
        <w:rPr>
          <w:rFonts w:ascii="Verdana" w:eastAsia="Times New Roman" w:hAnsi="Verdana" w:cs="Times New Roman"/>
          <w:color w:val="000000"/>
          <w:lang w:eastAsia="en-GB"/>
        </w:rPr>
      </w:pPr>
      <w:r w:rsidRPr="008346CC">
        <w:rPr>
          <w:rFonts w:ascii="Arial" w:eastAsia="Times New Roman" w:hAnsi="Arial" w:cs="Arial"/>
          <w:color w:val="000000"/>
          <w:sz w:val="28"/>
          <w:lang w:eastAsia="en-GB"/>
        </w:rPr>
        <w:t xml:space="preserve">Raising </w:t>
      </w:r>
      <w:r w:rsidR="008C6DCE">
        <w:rPr>
          <w:rFonts w:ascii="Arial" w:eastAsia="Times New Roman" w:hAnsi="Arial" w:cs="Arial"/>
          <w:color w:val="000000"/>
          <w:sz w:val="28"/>
          <w:lang w:eastAsia="en-GB"/>
        </w:rPr>
        <w:t>% of pupils attaining Greater Depth Standards across all areas.</w:t>
      </w:r>
    </w:p>
    <w:p w:rsidR="008C6DCE" w:rsidRPr="008346CC" w:rsidRDefault="008C6DCE" w:rsidP="008C6DCE">
      <w:pPr>
        <w:numPr>
          <w:ilvl w:val="0"/>
          <w:numId w:val="1"/>
        </w:numPr>
        <w:spacing w:before="100" w:beforeAutospacing="1" w:after="100" w:afterAutospacing="1" w:line="240" w:lineRule="auto"/>
        <w:ind w:left="543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sz w:val="28"/>
          <w:lang w:eastAsia="en-GB"/>
        </w:rPr>
        <w:t>Continue to raise the scaled scores across all areas</w:t>
      </w:r>
    </w:p>
    <w:p w:rsidR="00557470" w:rsidRDefault="00557470"/>
    <w:sectPr w:rsidR="00557470" w:rsidSect="00D87A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659A4"/>
    <w:multiLevelType w:val="multilevel"/>
    <w:tmpl w:val="56F2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CC"/>
    <w:rsid w:val="001427DD"/>
    <w:rsid w:val="002827F1"/>
    <w:rsid w:val="00400FF7"/>
    <w:rsid w:val="004A17CE"/>
    <w:rsid w:val="004F75EA"/>
    <w:rsid w:val="00557470"/>
    <w:rsid w:val="005C2A01"/>
    <w:rsid w:val="00616662"/>
    <w:rsid w:val="006A1CBD"/>
    <w:rsid w:val="00780DF3"/>
    <w:rsid w:val="00796E12"/>
    <w:rsid w:val="008346CC"/>
    <w:rsid w:val="0084406C"/>
    <w:rsid w:val="00852D14"/>
    <w:rsid w:val="008C6DCE"/>
    <w:rsid w:val="00994C52"/>
    <w:rsid w:val="00994DB6"/>
    <w:rsid w:val="00A61996"/>
    <w:rsid w:val="00AF2BF9"/>
    <w:rsid w:val="00BD2A01"/>
    <w:rsid w:val="00D11D01"/>
    <w:rsid w:val="00D8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6B42B"/>
  <w15:docId w15:val="{41AEA8E4-D557-4441-B43A-BADA2704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70"/>
  </w:style>
  <w:style w:type="paragraph" w:styleId="Heading1">
    <w:name w:val="heading 1"/>
    <w:basedOn w:val="Normal"/>
    <w:link w:val="Heading1Char"/>
    <w:uiPriority w:val="9"/>
    <w:qFormat/>
    <w:rsid w:val="00834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6C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3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346CC"/>
    <w:rPr>
      <w:b/>
      <w:bCs/>
    </w:rPr>
  </w:style>
  <w:style w:type="character" w:styleId="Emphasis">
    <w:name w:val="Emphasis"/>
    <w:basedOn w:val="DefaultParagraphFont"/>
    <w:uiPriority w:val="20"/>
    <w:qFormat/>
    <w:rsid w:val="008346C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6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7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</cp:lastModifiedBy>
  <cp:revision>2</cp:revision>
  <cp:lastPrinted>2017-10-31T09:03:00Z</cp:lastPrinted>
  <dcterms:created xsi:type="dcterms:W3CDTF">2018-10-15T13:06:00Z</dcterms:created>
  <dcterms:modified xsi:type="dcterms:W3CDTF">2018-10-15T13:06:00Z</dcterms:modified>
</cp:coreProperties>
</file>